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Default Extension="jpg" ContentType="application/octet-stream"/>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m="http://schemas.openxmlformats.org/officeDocument/2006/math"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xmlns:a14="http://schemas.microsoft.com/office/drawing/2010/main" xmlns:asvg="http://schemas.microsoft.com/office/drawing/2016/SVG/main">
  <w:body>
    <w:p>
      <w:pPr>
        <w:spacing w:line="360" w:after="0" w:lineRule="auto"/>
      </w:pPr>
      <w:r>
        <w:rPr>
          <w:rFonts w:eastAsia="inter" w:cs="inter" w:ascii="inter" w:hAnsi="inter"/>
          <w:color w:val="000000"/>
        </w:rPr>
        <w:drawing>
          <wp:inline distB="0" distL="0" distR="0" distT="0">
            <wp:extent cx="1143000" cy="287909"/>
            <wp:effectExtent b="0" l="0" r="0" t="0"/>
            <wp:docPr id="1" name="image-44a44fb94ea97daf2578ceaaa66ff96e22a769dc.png"/>
            <a:graphic>
              <a:graphicData uri="http://schemas.openxmlformats.org/drawingml/2006/picture">
                <pic:pic>
                  <pic:nvPicPr>
                    <pic:cNvPr id="1" name="image-44a44fb94ea97daf2578ceaaa66ff96e22a769dc.png" descr=""/>
                    <pic:cNvPicPr/>
                  </pic:nvPicPr>
                  <pic:blipFill>
                    <a:blip r:embed="rId5" cstate="print"/>
                    <a:srcRect b="0" l="0" r="0" t="0"/>
                    <a:stretch>
                      <a:fillRect/>
                    </a:stretch>
                  </pic:blipFill>
                  <pic:spPr>
                    <a:xfrm>
                      <a:off x="0" y="0"/>
                      <a:ext cx="1143000" cy="287909"/>
                    </a:xfrm>
                    <a:prstGeom prst="rect"/>
                  </pic:spPr>
                </pic:pic>
              </a:graphicData>
            </a:graphic>
          </wp:inline>
        </w:drawing>
      </w:r>
    </w:p>
    <w:p>
      <w:pPr>
        <w:spacing w:line="360" w:before="315" w:after="105" w:lineRule="auto"/>
        <w:ind w:left="-30"/>
        <w:jc w:val="left"/>
      </w:pPr>
      <w:r>
        <w:rPr>
          <w:rFonts w:eastAsia="inter" w:cs="inter" w:ascii="inter" w:hAnsi="inter"/>
          <w:b/>
          <w:color w:val="000000"/>
          <w:sz w:val="24"/>
        </w:rPr>
        <w:t xml:space="preserve">Downloadable LLMs for Local Financial Data Analysis</w:t>
      </w:r>
    </w:p>
    <w:p>
      <w:pPr>
        <w:spacing w:line="360" w:after="210" w:lineRule="auto"/>
      </w:pPr>
      <w:r>
        <w:rPr>
          <w:rFonts w:eastAsia="inter" w:cs="inter" w:ascii="inter" w:hAnsi="inter"/>
          <w:color w:val="000000"/>
        </w:rPr>
        <w:t xml:space="preserve">Several large language models (LLMs) can be downloaded and run locally for financial data analysis, with a focus on privacy and data protection. The most notable options are:</w:t>
      </w:r>
    </w:p>
    <w:p>
      <w:pPr>
        <w:numPr>
          <w:ilvl w:val="0"/>
          <w:numId w:val="1"/>
        </w:numPr>
        <w:spacing w:line="360" w:before="105" w:after="105" w:lineRule="auto"/>
      </w:pPr>
      <w:r>
        <w:rPr>
          <w:rFonts w:eastAsia="inter" w:cs="inter" w:ascii="inter" w:hAnsi="inter"/>
          <w:b/>
          <w:color w:val="000000"/>
          <w:sz w:val="21"/>
        </w:rPr>
        <w:t xml:space="preserve">FinGPT</w:t>
      </w:r>
      <w:r>
        <w:rPr>
          <w:rFonts w:eastAsia="inter" w:cs="inter" w:ascii="inter" w:hAnsi="inter"/>
          <w:color w:val="000000"/>
          <w:sz w:val="21"/>
        </w:rPr>
        <w:t xml:space="preserve">: An open-source, finance-specialized LLM designed for local deployment.</w:t>
      </w:r>
    </w:p>
    <w:p>
      <w:pPr>
        <w:numPr>
          <w:ilvl w:val="0"/>
          <w:numId w:val="1"/>
        </w:numPr>
        <w:spacing w:line="360" w:before="105" w:after="105" w:lineRule="auto"/>
      </w:pPr>
      <w:r>
        <w:rPr>
          <w:rFonts w:eastAsia="inter" w:cs="inter" w:ascii="inter" w:hAnsi="inter"/>
          <w:b/>
          <w:color w:val="000000"/>
          <w:sz w:val="21"/>
        </w:rPr>
        <w:t xml:space="preserve">Ollama</w:t>
      </w:r>
      <w:r>
        <w:rPr>
          <w:rFonts w:eastAsia="inter" w:cs="inter" w:ascii="inter" w:hAnsi="inter"/>
          <w:color w:val="000000"/>
          <w:sz w:val="21"/>
        </w:rPr>
        <w:t xml:space="preserve">: A platform for running various LLMs locally, including finance-focused models.</w:t>
      </w:r>
    </w:p>
    <w:p>
      <w:pPr>
        <w:spacing w:line="360" w:after="210" w:lineRule="auto"/>
      </w:pPr>
      <w:r>
        <w:rPr>
          <w:rFonts w:eastAsia="inter" w:cs="inter" w:ascii="inter" w:hAnsi="inter"/>
          <w:color w:val="000000"/>
        </w:rPr>
        <w:t xml:space="preserve">Below is an overview of these solutions, their suitability for financial data, and security considerations.</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FinGPT</w:t>
      </w:r>
    </w:p>
    <w:p>
      <w:pPr>
        <w:numPr>
          <w:ilvl w:val="0"/>
          <w:numId w:val="2"/>
        </w:numPr>
        <w:spacing w:line="360" w:before="105" w:after="105" w:lineRule="auto"/>
      </w:pPr>
      <w:r>
        <w:rPr>
          <w:rFonts w:eastAsia="inter" w:cs="inter" w:ascii="inter" w:hAnsi="inter"/>
          <w:b/>
          <w:color w:val="000000"/>
          <w:sz w:val="21"/>
        </w:rPr>
        <w:t xml:space="preserve">Purpose</w:t>
      </w:r>
      <w:r>
        <w:rPr>
          <w:rFonts w:eastAsia="inter" w:cs="inter" w:ascii="inter" w:hAnsi="inter"/>
          <w:color w:val="000000"/>
          <w:sz w:val="21"/>
        </w:rPr>
        <w:t xml:space="preserve">: Specifically built for financial data analysis, FinGPT is open-source and designed to be adaptable and lightweight. It leverages top open-source LLMs and fine-tunes them with financial datasets and best practices for financial language modeling</w:t>
      </w:r>
      <w:bookmarkStart w:id="0" w:name="fnref1"/>
      <w:bookmarkEnd w:id="0"/>
      <w:hyperlink w:anchor="fn1">
        <w:r>
          <w:rPr>
            <w:rFonts w:eastAsia="inter" w:cs="inter" w:ascii="inter" w:hAnsi="inter"/>
            <w:color w:val="#000"/>
            <w:sz w:val="21"/>
            <w:u w:val="single"/>
            <w:vertAlign w:val="superscript"/>
          </w:rPr>
          <w:t xml:space="preserve">[1]</w:t>
        </w:r>
      </w:hyperlink>
      <w:bookmarkStart w:id="1" w:name="fnref2"/>
      <w:bookmarkEnd w:id="1"/>
      <w:hyperlink w:anchor="fn2">
        <w:r>
          <w:rPr>
            <w:rFonts w:eastAsia="inter" w:cs="inter" w:ascii="inter" w:hAnsi="inter"/>
            <w:color w:val="#000"/>
            <w:sz w:val="21"/>
            <w:u w:val="single"/>
            <w:vertAlign w:val="superscript"/>
          </w:rPr>
          <w:t xml:space="preserve">[2]</w:t>
        </w:r>
      </w:hyperlink>
      <w:r>
        <w:rPr>
          <w:rFonts w:eastAsia="inter" w:cs="inter" w:ascii="inter" w:hAnsi="inter"/>
          <w:color w:val="000000"/>
          <w:sz w:val="21"/>
        </w:rPr>
        <w:t xml:space="preserve">.</w:t>
      </w:r>
    </w:p>
    <w:p>
      <w:pPr>
        <w:numPr>
          <w:ilvl w:val="0"/>
          <w:numId w:val="2"/>
        </w:numPr>
        <w:spacing w:line="360" w:before="105" w:after="105" w:lineRule="auto"/>
      </w:pPr>
      <w:r>
        <w:rPr>
          <w:rFonts w:eastAsia="inter" w:cs="inter" w:ascii="inter" w:hAnsi="inter"/>
          <w:b/>
          <w:color w:val="000000"/>
          <w:sz w:val="21"/>
        </w:rPr>
        <w:t xml:space="preserve">Deployment</w:t>
      </w:r>
      <w:r>
        <w:rPr>
          <w:rFonts w:eastAsia="inter" w:cs="inter" w:ascii="inter" w:hAnsi="inter"/>
          <w:color w:val="000000"/>
          <w:sz w:val="21"/>
        </w:rPr>
        <w:t xml:space="preserve">: FinGPT can be run locally, ensuring that sensitive financial data does not leave your controlled environment</w:t>
      </w:r>
      <w:bookmarkStart w:id="2" w:name="fnref1:1"/>
      <w:bookmarkEnd w:id="2"/>
      <w:hyperlink w:anchor="fn1">
        <w:r>
          <w:rPr>
            <w:rFonts w:eastAsia="inter" w:cs="inter" w:ascii="inter" w:hAnsi="inter"/>
            <w:color w:val="#000"/>
            <w:sz w:val="21"/>
            <w:u w:val="single"/>
            <w:vertAlign w:val="superscript"/>
          </w:rPr>
          <w:t xml:space="preserve">[1]</w:t>
        </w:r>
      </w:hyperlink>
      <w:r>
        <w:rPr>
          <w:rFonts w:eastAsia="inter" w:cs="inter" w:ascii="inter" w:hAnsi="inter"/>
          <w:color w:val="000000"/>
          <w:sz w:val="21"/>
        </w:rPr>
        <w:t xml:space="preserve">.</w:t>
      </w:r>
    </w:p>
    <w:p>
      <w:pPr>
        <w:numPr>
          <w:ilvl w:val="0"/>
          <w:numId w:val="2"/>
        </w:numPr>
        <w:spacing w:line="360" w:before="105" w:after="105" w:lineRule="auto"/>
      </w:pPr>
      <w:r>
        <w:rPr>
          <w:rFonts w:eastAsia="inter" w:cs="inter" w:ascii="inter" w:hAnsi="inter"/>
          <w:b/>
          <w:color w:val="000000"/>
          <w:sz w:val="21"/>
        </w:rPr>
        <w:t xml:space="preserve">Best Practices</w:t>
      </w:r>
      <w:r>
        <w:rPr>
          <w:rFonts w:eastAsia="inter" w:cs="inter" w:ascii="inter" w:hAnsi="inter"/>
          <w:color w:val="000000"/>
          <w:sz w:val="21"/>
        </w:rPr>
        <w:t xml:space="preserve">: The AI4Finance Foundation, which develops FinGPT, emphasizes standardized practices and guidance for financial data analysis, including privacy and security considerations</w:t>
      </w:r>
      <w:bookmarkStart w:id="3" w:name="fnref2:1"/>
      <w:bookmarkEnd w:id="3"/>
      <w:hyperlink w:anchor="fn2">
        <w:r>
          <w:rPr>
            <w:rFonts w:eastAsia="inter" w:cs="inter" w:ascii="inter" w:hAnsi="inter"/>
            <w:color w:val="#000"/>
            <w:sz w:val="21"/>
            <w:u w:val="single"/>
            <w:vertAlign w:val="superscript"/>
          </w:rPr>
          <w:t xml:space="preserve">[2]</w:t>
        </w:r>
      </w:hyperlink>
      <w:r>
        <w:rPr>
          <w:rFonts w:eastAsia="inter" w:cs="inter" w:ascii="inter" w:hAnsi="inter"/>
          <w:color w:val="000000"/>
          <w:sz w:val="21"/>
        </w:rPr>
        <w:t xml:space="preserve">.</w:t>
      </w:r>
    </w:p>
    <w:p>
      <w:pPr>
        <w:numPr>
          <w:ilvl w:val="0"/>
          <w:numId w:val="2"/>
        </w:numPr>
        <w:spacing w:line="360" w:before="105" w:after="105" w:lineRule="auto"/>
      </w:pPr>
      <w:r>
        <w:rPr>
          <w:rFonts w:eastAsia="inter" w:cs="inter" w:ascii="inter" w:hAnsi="inter"/>
          <w:b/>
          <w:color w:val="000000"/>
          <w:sz w:val="21"/>
        </w:rPr>
        <w:t xml:space="preserve">Training</w:t>
      </w:r>
      <w:r>
        <w:rPr>
          <w:rFonts w:eastAsia="inter" w:cs="inter" w:ascii="inter" w:hAnsi="inter"/>
          <w:color w:val="000000"/>
          <w:sz w:val="21"/>
        </w:rPr>
        <w:t xml:space="preserve">: Uses reinforcement learning from human feedback (RLHF) to align with financial analysis tasks and user preferences</w:t>
      </w:r>
      <w:bookmarkStart w:id="4" w:name="fnref2:2"/>
      <w:bookmarkEnd w:id="4"/>
      <w:hyperlink w:anchor="fn2">
        <w:r>
          <w:rPr>
            <w:rFonts w:eastAsia="inter" w:cs="inter" w:ascii="inter" w:hAnsi="inter"/>
            <w:color w:val="#000"/>
            <w:sz w:val="21"/>
            <w:u w:val="single"/>
            <w:vertAlign w:val="superscript"/>
          </w:rPr>
          <w:t xml:space="preserve">[2]</w:t>
        </w:r>
      </w:hyperlink>
      <w:r>
        <w:rPr>
          <w:rFonts w:eastAsia="inter" w:cs="inter" w:ascii="inter" w:hAnsi="inter"/>
          <w:color w:val="000000"/>
          <w:sz w:val="21"/>
        </w:rPr>
        <w:t xml:space="preserve">.</w:t>
      </w:r>
    </w:p>
    <w:p>
      <w:pPr>
        <w:numPr>
          <w:ilvl w:val="0"/>
          <w:numId w:val="2"/>
        </w:numPr>
        <w:spacing w:line="360" w:before="105" w:after="105" w:lineRule="auto"/>
      </w:pPr>
      <w:r>
        <w:rPr>
          <w:rFonts w:eastAsia="inter" w:cs="inter" w:ascii="inter" w:hAnsi="inter"/>
          <w:b/>
          <w:color w:val="000000"/>
          <w:sz w:val="21"/>
        </w:rPr>
        <w:t xml:space="preserve">Community and Support</w:t>
      </w:r>
      <w:r>
        <w:rPr>
          <w:rFonts w:eastAsia="inter" w:cs="inter" w:ascii="inter" w:hAnsi="inter"/>
          <w:color w:val="000000"/>
          <w:sz w:val="21"/>
        </w:rPr>
        <w:t xml:space="preserve">: Actively maintained with a growing user base and documentation for local deployment</w:t>
      </w:r>
      <w:bookmarkStart w:id="5" w:name="fnref1:2"/>
      <w:bookmarkEnd w:id="5"/>
      <w:hyperlink w:anchor="fn1">
        <w:r>
          <w:rPr>
            <w:rFonts w:eastAsia="inter" w:cs="inter" w:ascii="inter" w:hAnsi="inter"/>
            <w:color w:val="#000"/>
            <w:sz w:val="21"/>
            <w:u w:val="single"/>
            <w:vertAlign w:val="superscript"/>
          </w:rPr>
          <w:t xml:space="preserve">[1]</w:t>
        </w:r>
      </w:hyperlink>
      <w:bookmarkStart w:id="6" w:name="fnref2:3"/>
      <w:bookmarkEnd w:id="6"/>
      <w:hyperlink w:anchor="fn2">
        <w:r>
          <w:rPr>
            <w:rFonts w:eastAsia="inter" w:cs="inter" w:ascii="inter" w:hAnsi="inter"/>
            <w:color w:val="#000"/>
            <w:sz w:val="21"/>
            <w:u w:val="single"/>
            <w:vertAlign w:val="superscript"/>
          </w:rPr>
          <w:t xml:space="preserve">[2]</w:t>
        </w:r>
      </w:hyperlink>
      <w:r>
        <w:rPr>
          <w:rFonts w:eastAsia="inter" w:cs="inter" w:ascii="inter" w:hAnsi="inter"/>
          <w:color w:val="000000"/>
          <w:sz w:val="21"/>
        </w:rPr>
        <w:t xml:space="preserv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Ollama</w:t>
      </w:r>
    </w:p>
    <w:p>
      <w:pPr>
        <w:numPr>
          <w:ilvl w:val="0"/>
          <w:numId w:val="3"/>
        </w:numPr>
        <w:spacing w:line="360" w:before="105" w:after="105" w:lineRule="auto"/>
      </w:pPr>
      <w:r>
        <w:rPr>
          <w:rFonts w:eastAsia="inter" w:cs="inter" w:ascii="inter" w:hAnsi="inter"/>
          <w:b/>
          <w:color w:val="000000"/>
          <w:sz w:val="21"/>
        </w:rPr>
        <w:t xml:space="preserve">Purpose</w:t>
      </w:r>
      <w:r>
        <w:rPr>
          <w:rFonts w:eastAsia="inter" w:cs="inter" w:ascii="inter" w:hAnsi="inter"/>
          <w:color w:val="000000"/>
          <w:sz w:val="21"/>
        </w:rPr>
        <w:t xml:space="preserve">: Ollama is an open-source framework for running LLMs locally on personal or corporate hardware, supporting a wide variety of models, including those tailored for finance</w:t>
      </w:r>
      <w:bookmarkStart w:id="7" w:name="fnref3"/>
      <w:bookmarkEnd w:id="7"/>
      <w:hyperlink w:anchor="fn3">
        <w:r>
          <w:rPr>
            <w:rFonts w:eastAsia="inter" w:cs="inter" w:ascii="inter" w:hAnsi="inter"/>
            <w:color w:val="#000"/>
            <w:sz w:val="21"/>
            <w:u w:val="single"/>
            <w:vertAlign w:val="superscript"/>
          </w:rPr>
          <w:t xml:space="preserve">[3]</w:t>
        </w:r>
      </w:hyperlink>
      <w:r>
        <w:rPr>
          <w:rFonts w:eastAsia="inter" w:cs="inter" w:ascii="inter" w:hAnsi="inter"/>
          <w:color w:val="000000"/>
          <w:sz w:val="21"/>
        </w:rPr>
        <w:t xml:space="preserve">.</w:t>
      </w:r>
    </w:p>
    <w:p>
      <w:pPr>
        <w:numPr>
          <w:ilvl w:val="0"/>
          <w:numId w:val="3"/>
        </w:numPr>
        <w:spacing w:line="360" w:before="105" w:after="105" w:lineRule="auto"/>
      </w:pPr>
      <w:r>
        <w:rPr>
          <w:rFonts w:eastAsia="inter" w:cs="inter" w:ascii="inter" w:hAnsi="inter"/>
          <w:b/>
          <w:color w:val="000000"/>
          <w:sz w:val="21"/>
        </w:rPr>
        <w:t xml:space="preserve">Privacy</w:t>
      </w:r>
      <w:r>
        <w:rPr>
          <w:rFonts w:eastAsia="inter" w:cs="inter" w:ascii="inter" w:hAnsi="inter"/>
          <w:color w:val="000000"/>
          <w:sz w:val="21"/>
        </w:rPr>
        <w:t xml:space="preserve">: Running models locally with Ollama keeps financial data behind your firewall, reducing exposure to third-party cloud risks</w:t>
      </w:r>
      <w:bookmarkStart w:id="8" w:name="fnref3:1"/>
      <w:bookmarkEnd w:id="8"/>
      <w:hyperlink w:anchor="fn3">
        <w:r>
          <w:rPr>
            <w:rFonts w:eastAsia="inter" w:cs="inter" w:ascii="inter" w:hAnsi="inter"/>
            <w:color w:val="#000"/>
            <w:sz w:val="21"/>
            <w:u w:val="single"/>
            <w:vertAlign w:val="superscript"/>
          </w:rPr>
          <w:t xml:space="preserve">[3]</w:t>
        </w:r>
      </w:hyperlink>
      <w:r>
        <w:rPr>
          <w:rFonts w:eastAsia="inter" w:cs="inter" w:ascii="inter" w:hAnsi="inter"/>
          <w:color w:val="000000"/>
          <w:sz w:val="21"/>
        </w:rPr>
        <w:t xml:space="preserve">.</w:t>
      </w:r>
    </w:p>
    <w:p>
      <w:pPr>
        <w:numPr>
          <w:ilvl w:val="0"/>
          <w:numId w:val="3"/>
        </w:numPr>
        <w:spacing w:line="360" w:before="105" w:after="105" w:lineRule="auto"/>
      </w:pPr>
      <w:r>
        <w:rPr>
          <w:rFonts w:eastAsia="inter" w:cs="inter" w:ascii="inter" w:hAnsi="inter"/>
          <w:b/>
          <w:color w:val="000000"/>
          <w:sz w:val="21"/>
        </w:rPr>
        <w:t xml:space="preserve">Model Support</w:t>
      </w:r>
      <w:r>
        <w:rPr>
          <w:rFonts w:eastAsia="inter" w:cs="inter" w:ascii="inter" w:hAnsi="inter"/>
          <w:color w:val="000000"/>
          <w:sz w:val="21"/>
        </w:rPr>
        <w:t xml:space="preserve">: You can run finance-specific models (such as FinGPT, Fin-R1, and others) via Ollama, provided they are available in supported formats</w:t>
      </w:r>
      <w:bookmarkStart w:id="9" w:name="fnref4"/>
      <w:bookmarkEnd w:id="9"/>
      <w:hyperlink w:anchor="fn4">
        <w:r>
          <w:rPr>
            <w:rFonts w:eastAsia="inter" w:cs="inter" w:ascii="inter" w:hAnsi="inter"/>
            <w:color w:val="#000"/>
            <w:sz w:val="21"/>
            <w:u w:val="single"/>
            <w:vertAlign w:val="superscript"/>
          </w:rPr>
          <w:t xml:space="preserve">[4]</w:t>
        </w:r>
      </w:hyperlink>
      <w:bookmarkStart w:id="10" w:name="fnref5"/>
      <w:bookmarkEnd w:id="10"/>
      <w:hyperlink w:anchor="fn5">
        <w:r>
          <w:rPr>
            <w:rFonts w:eastAsia="inter" w:cs="inter" w:ascii="inter" w:hAnsi="inter"/>
            <w:color w:val="#000"/>
            <w:sz w:val="21"/>
            <w:u w:val="single"/>
            <w:vertAlign w:val="superscript"/>
          </w:rPr>
          <w:t xml:space="preserve">[5]</w:t>
        </w:r>
      </w:hyperlink>
      <w:r>
        <w:rPr>
          <w:rFonts w:eastAsia="inter" w:cs="inter" w:ascii="inter" w:hAnsi="inter"/>
          <w:color w:val="000000"/>
          <w:sz w:val="21"/>
        </w:rPr>
        <w:t xml:space="preserve">.</w:t>
      </w:r>
    </w:p>
    <w:p>
      <w:pPr>
        <w:numPr>
          <w:ilvl w:val="0"/>
          <w:numId w:val="3"/>
        </w:numPr>
        <w:spacing w:line="360" w:before="105" w:after="105" w:lineRule="auto"/>
      </w:pPr>
      <w:r>
        <w:rPr>
          <w:rFonts w:eastAsia="inter" w:cs="inter" w:ascii="inter" w:hAnsi="inter"/>
          <w:b/>
          <w:color w:val="000000"/>
          <w:sz w:val="21"/>
        </w:rPr>
        <w:t xml:space="preserve">Security Concerns</w:t>
      </w:r>
      <w:r>
        <w:rPr>
          <w:rFonts w:eastAsia="inter" w:cs="inter" w:ascii="inter" w:hAnsi="inter"/>
          <w:color w:val="000000"/>
          <w:sz w:val="21"/>
        </w:rPr>
        <w:t xml:space="preserve">:</w:t>
      </w:r>
    </w:p>
    <w:p>
      <w:pPr>
        <w:numPr>
          <w:ilvl w:val="1"/>
          <w:numId w:val="3"/>
        </w:numPr>
        <w:spacing w:line="360" w:before="105" w:after="105" w:lineRule="auto"/>
      </w:pPr>
      <w:r>
        <w:rPr>
          <w:rFonts w:eastAsia="inter" w:cs="inter" w:ascii="inter" w:hAnsi="inter"/>
          <w:color w:val="000000"/>
          <w:sz w:val="21"/>
        </w:rPr>
        <w:t xml:space="preserve">Ollama has faced critical security vulnerabilities, including risks of model tampering and theft if endpoints are left exposed to the internet</w:t>
      </w:r>
      <w:bookmarkStart w:id="11" w:name="fnref6"/>
      <w:bookmarkEnd w:id="11"/>
      <w:hyperlink w:anchor="fn6">
        <w:r>
          <w:rPr>
            <w:rFonts w:eastAsia="inter" w:cs="inter" w:ascii="inter" w:hAnsi="inter"/>
            <w:color w:val="#000"/>
            <w:sz w:val="21"/>
            <w:u w:val="single"/>
            <w:vertAlign w:val="superscript"/>
          </w:rPr>
          <w:t xml:space="preserve">[6]</w:t>
        </w:r>
      </w:hyperlink>
      <w:r>
        <w:rPr>
          <w:rFonts w:eastAsia="inter" w:cs="inter" w:ascii="inter" w:hAnsi="inter"/>
          <w:color w:val="000000"/>
          <w:sz w:val="21"/>
        </w:rPr>
        <w:t xml:space="preserve">.</w:t>
      </w:r>
    </w:p>
    <w:p>
      <w:pPr>
        <w:numPr>
          <w:ilvl w:val="1"/>
          <w:numId w:val="3"/>
        </w:numPr>
        <w:spacing w:line="360" w:before="105" w:after="105" w:lineRule="auto"/>
      </w:pPr>
      <w:r>
        <w:rPr>
          <w:rFonts w:eastAsia="inter" w:cs="inter" w:ascii="inter" w:hAnsi="inter"/>
          <w:color w:val="000000"/>
          <w:sz w:val="21"/>
        </w:rPr>
        <w:t xml:space="preserve">Two major vulnerabilities (model poisoning and model theft) were unpatched as of late 2024, requiring users to secure endpoints with firewalls or proxies and not expose Ollama to the public internet</w:t>
      </w:r>
      <w:bookmarkStart w:id="12" w:name="fnref6:1"/>
      <w:bookmarkEnd w:id="12"/>
      <w:hyperlink w:anchor="fn6">
        <w:r>
          <w:rPr>
            <w:rFonts w:eastAsia="inter" w:cs="inter" w:ascii="inter" w:hAnsi="inter"/>
            <w:color w:val="#000"/>
            <w:sz w:val="21"/>
            <w:u w:val="single"/>
            <w:vertAlign w:val="superscript"/>
          </w:rPr>
          <w:t xml:space="preserve">[6]</w:t>
        </w:r>
      </w:hyperlink>
      <w:r>
        <w:rPr>
          <w:rFonts w:eastAsia="inter" w:cs="inter" w:ascii="inter" w:hAnsi="inter"/>
          <w:color w:val="000000"/>
          <w:sz w:val="21"/>
        </w:rPr>
        <w:t xml:space="preserve">.</w:t>
      </w:r>
    </w:p>
    <w:p>
      <w:pPr>
        <w:numPr>
          <w:ilvl w:val="1"/>
          <w:numId w:val="3"/>
        </w:numPr>
        <w:spacing w:line="360" w:before="105" w:after="105" w:lineRule="auto"/>
      </w:pPr>
      <w:r>
        <w:rPr>
          <w:rFonts w:eastAsia="inter" w:cs="inter" w:ascii="inter" w:hAnsi="inter"/>
          <w:color w:val="000000"/>
          <w:sz w:val="21"/>
        </w:rPr>
        <w:t xml:space="preserve">Security best practices must be followed strictly to ensure privacy and data protection.</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Are Ollama and FinGPT "Safe"?</w:t>
      </w:r>
    </w:p>
    <w:p>
      <w:pPr>
        <w:numPr>
          <w:ilvl w:val="0"/>
          <w:numId w:val="4"/>
        </w:numPr>
        <w:spacing w:line="360" w:before="105" w:after="105" w:lineRule="auto"/>
      </w:pPr>
      <w:r>
        <w:rPr>
          <w:rFonts w:eastAsia="inter" w:cs="inter" w:ascii="inter" w:hAnsi="inter"/>
          <w:b/>
          <w:color w:val="000000"/>
          <w:sz w:val="21"/>
        </w:rPr>
        <w:t xml:space="preserve">FinGPT</w:t>
      </w:r>
      <w:r>
        <w:rPr>
          <w:rFonts w:eastAsia="inter" w:cs="inter" w:ascii="inter" w:hAnsi="inter"/>
          <w:color w:val="000000"/>
          <w:sz w:val="21"/>
        </w:rPr>
        <w:t xml:space="preserve">: When run locally and with standard IT security measures (firewall, access controls), FinGPT is designed for privacy and aligns with good practices for financial data analysis</w:t>
      </w:r>
      <w:bookmarkStart w:id="13" w:name="fnref1:3"/>
      <w:bookmarkEnd w:id="13"/>
      <w:hyperlink w:anchor="fn1">
        <w:r>
          <w:rPr>
            <w:rFonts w:eastAsia="inter" w:cs="inter" w:ascii="inter" w:hAnsi="inter"/>
            <w:color w:val="#000"/>
            <w:sz w:val="21"/>
            <w:u w:val="single"/>
            <w:vertAlign w:val="superscript"/>
          </w:rPr>
          <w:t xml:space="preserve">[1]</w:t>
        </w:r>
      </w:hyperlink>
      <w:bookmarkStart w:id="14" w:name="fnref2:4"/>
      <w:bookmarkEnd w:id="14"/>
      <w:hyperlink w:anchor="fn2">
        <w:r>
          <w:rPr>
            <w:rFonts w:eastAsia="inter" w:cs="inter" w:ascii="inter" w:hAnsi="inter"/>
            <w:color w:val="#000"/>
            <w:sz w:val="21"/>
            <w:u w:val="single"/>
            <w:vertAlign w:val="superscript"/>
          </w:rPr>
          <w:t xml:space="preserve">[2]</w:t>
        </w:r>
      </w:hyperlink>
      <w:r>
        <w:rPr>
          <w:rFonts w:eastAsia="inter" w:cs="inter" w:ascii="inter" w:hAnsi="inter"/>
          <w:color w:val="000000"/>
          <w:sz w:val="21"/>
        </w:rPr>
        <w:t xml:space="preserve">. Its open-source nature allows for code inspection and customization.</w:t>
      </w:r>
    </w:p>
    <w:p>
      <w:pPr>
        <w:numPr>
          <w:ilvl w:val="0"/>
          <w:numId w:val="4"/>
        </w:numPr>
        <w:spacing w:line="360" w:before="105" w:after="105" w:lineRule="auto"/>
      </w:pPr>
      <w:r>
        <w:rPr>
          <w:rFonts w:eastAsia="inter" w:cs="inter" w:ascii="inter" w:hAnsi="inter"/>
          <w:b/>
          <w:color w:val="000000"/>
          <w:sz w:val="21"/>
        </w:rPr>
        <w:t xml:space="preserve">Ollama</w:t>
      </w:r>
      <w:r>
        <w:rPr>
          <w:rFonts w:eastAsia="inter" w:cs="inter" w:ascii="inter" w:hAnsi="inter"/>
          <w:color w:val="000000"/>
          <w:sz w:val="21"/>
        </w:rPr>
        <w:t xml:space="preserve">: Provides strong privacy when deployed correctly (i.e., not exposed to the internet, endpoints secured)</w:t>
      </w:r>
      <w:bookmarkStart w:id="15" w:name="fnref3:2"/>
      <w:bookmarkEnd w:id="15"/>
      <w:hyperlink w:anchor="fn3">
        <w:r>
          <w:rPr>
            <w:rFonts w:eastAsia="inter" w:cs="inter" w:ascii="inter" w:hAnsi="inter"/>
            <w:color w:val="#000"/>
            <w:sz w:val="21"/>
            <w:u w:val="single"/>
            <w:vertAlign w:val="superscript"/>
          </w:rPr>
          <w:t xml:space="preserve">[3]</w:t>
        </w:r>
      </w:hyperlink>
      <w:r>
        <w:rPr>
          <w:rFonts w:eastAsia="inter" w:cs="inter" w:ascii="inter" w:hAnsi="inter"/>
          <w:color w:val="000000"/>
          <w:sz w:val="21"/>
        </w:rPr>
        <w:t xml:space="preserve">. However, recent security reports highlight critical vulnerabilities if not properly configured</w:t>
      </w:r>
      <w:bookmarkStart w:id="16" w:name="fnref6:2"/>
      <w:bookmarkEnd w:id="16"/>
      <w:hyperlink w:anchor="fn6">
        <w:r>
          <w:rPr>
            <w:rFonts w:eastAsia="inter" w:cs="inter" w:ascii="inter" w:hAnsi="inter"/>
            <w:color w:val="#000"/>
            <w:sz w:val="21"/>
            <w:u w:val="single"/>
            <w:vertAlign w:val="superscript"/>
          </w:rPr>
          <w:t xml:space="preserve">[6]</w:t>
        </w:r>
      </w:hyperlink>
      <w:r>
        <w:rPr>
          <w:rFonts w:eastAsia="inter" w:cs="inter" w:ascii="inter" w:hAnsi="inter"/>
          <w:color w:val="000000"/>
          <w:sz w:val="21"/>
        </w:rPr>
        <w:t xml:space="preserve">. Ollama is only as secure as its deployment environment.</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Summary Table: Local LLMs for Financial Analysis</w:t>
      </w:r>
    </w:p>
    <w:tbl>
      <w:tblPr>
        <w:tblStyle w:val="TableGrid"/>
        <w:jc w:val="center"/>
        <w:tblCellSpacing w:w="0" w:type="dxa"/>
        <w:tblBorders>
          <w:top w:val="single" w:sz="2" w:space="0" w:color="000000"/>
          <w:left w:val="single" w:sz="2" w:space="0" w:color="000000"/>
          <w:bottom w:val="single" w:sz="2" w:space="0" w:color="000000"/>
          <w:right w:val="single" w:sz="2" w:space="0" w:color="000000"/>
        </w:tblBorders>
        <w:tblCellMar>
          <w:top w:type="dxa" w:w="80"/>
          <w:left w:type="dxa" w:w="160"/>
          <w:bottom w:type="dxa" w:w="80"/>
          <w:right w:type="dxa" w:w="160"/>
        </w:tblCellMar>
      </w:tblPr>
      <w:tblGrid>
        <w:gridCol w:w="1902"/>
        <w:gridCol w:w="1902"/>
        <w:gridCol w:w="1902"/>
        <w:gridCol w:w="1902"/>
        <w:gridCol w:w="1902"/>
      </w:tblGrid>
      <w:tr>
        <w:trPr>
          <w:cantSplit/>
        </w:trPr>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Model/Platform</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Finance-Specific</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Local Deployment</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Pretrained Practices</w:t>
            </w:r>
          </w:p>
        </w:tc>
        <w:tc>
          <w:tcPr>
            <w:tcBorders>
              <w:top w:val="single" w:sz="1" w:space="0" w:color="000000"/>
              <w:bottom w:val="single" w:sz="1" w:space="0" w:color="000000"/>
            </w:tcBorders>
          </w:tcPr>
          <w:p>
            <w:pPr>
              <w:spacing w:line="360" w:lineRule="auto"/>
            </w:pPr>
            <w:r>
              <w:rPr>
                <w:rFonts w:eastAsia="inter" w:cs="inter" w:ascii="inter" w:hAnsi="inter"/>
                <w:color w:val="000000"/>
                <w:sz w:val="17"/>
              </w:rPr>
              <w:t xml:space="preserve">Security Notes</w:t>
            </w:r>
          </w:p>
        </w:tc>
      </w:tr>
      <w:tr>
        <w:trPr>
          <w:cantSplit/>
        </w:trPr>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FinGPT</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Yes</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Yes</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Yes (finance-focused)</w:t>
            </w:r>
          </w:p>
        </w:tc>
        <w:tc>
          <w:tcPr>
            <w:tcBorders>
              <w:top w:val="single" w:sz="1" w:space="0" w:color="000000"/>
              <w:bottom w:val="single" w:sz="1" w:space="0" w:color="000000"/>
            </w:tcBorders>
          </w:tcPr>
          <w:p>
            <w:pPr>
              <w:spacing w:line="360" w:lineRule="auto"/>
            </w:pPr>
            <w:r>
              <w:rPr>
                <w:rFonts w:eastAsia="inter" w:cs="inter" w:ascii="inter" w:hAnsi="inter"/>
                <w:color w:val="000000"/>
                <w:sz w:val="17"/>
              </w:rPr>
              <w:t xml:space="preserve">Secure if run locally and endpoints are protected</w:t>
            </w:r>
            <w:hyperlink w:anchor="fn1">
              <w:r>
                <w:rPr>
                  <w:rFonts w:eastAsia="inter" w:cs="inter" w:ascii="inter" w:hAnsi="inter"/>
                  <w:color w:val="#000"/>
                  <w:sz w:val="17"/>
                  <w:u w:val="single"/>
                  <w:vertAlign w:val="superscript"/>
                </w:rPr>
                <w:t xml:space="preserve">[1]</w:t>
              </w:r>
            </w:hyperlink>
            <w:hyperlink w:anchor="fn2">
              <w:r>
                <w:rPr>
                  <w:rFonts w:eastAsia="inter" w:cs="inter" w:ascii="inter" w:hAnsi="inter"/>
                  <w:color w:val="#000"/>
                  <w:sz w:val="17"/>
                  <w:u w:val="single"/>
                  <w:vertAlign w:val="superscript"/>
                </w:rPr>
                <w:t xml:space="preserve">[2]</w:t>
              </w:r>
            </w:hyperlink>
          </w:p>
        </w:tc>
      </w:tr>
      <w:tr>
        <w:trPr>
          <w:cantSplit/>
        </w:trPr>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Ollama</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Supports finance models</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Yes</w:t>
            </w:r>
          </w:p>
        </w:tc>
        <w:tc>
          <w:tcPr>
            <w:tcBorders>
              <w:top w:val="single" w:sz="1" w:space="0" w:color="000000"/>
              <w:bottom w:val="single" w:sz="1" w:space="0" w:color="000000"/>
              <w:right w:val="single" w:sz="1" w:space="0" w:color="000000"/>
            </w:tcBorders>
          </w:tcPr>
          <w:p>
            <w:pPr>
              <w:spacing w:line="360" w:lineRule="auto"/>
            </w:pPr>
            <w:r>
              <w:rPr>
                <w:rFonts w:eastAsia="inter" w:cs="inter" w:ascii="inter" w:hAnsi="inter"/>
                <w:color w:val="000000"/>
                <w:sz w:val="17"/>
              </w:rPr>
              <w:t xml:space="preserve">Depends on model</w:t>
            </w:r>
          </w:p>
        </w:tc>
        <w:tc>
          <w:tcPr>
            <w:tcBorders>
              <w:top w:val="single" w:sz="1" w:space="0" w:color="000000"/>
              <w:bottom w:val="single" w:sz="1" w:space="0" w:color="000000"/>
            </w:tcBorders>
          </w:tcPr>
          <w:p>
            <w:pPr>
              <w:spacing w:line="360" w:lineRule="auto"/>
            </w:pPr>
            <w:r>
              <w:rPr>
                <w:rFonts w:eastAsia="inter" w:cs="inter" w:ascii="inter" w:hAnsi="inter"/>
                <w:color w:val="000000"/>
                <w:sz w:val="17"/>
              </w:rPr>
              <w:t xml:space="preserve">Secure if not internet-exposed and patched; vulnerabilities exist if misconfigured</w:t>
            </w:r>
            <w:hyperlink w:anchor="fn3">
              <w:r>
                <w:rPr>
                  <w:rFonts w:eastAsia="inter" w:cs="inter" w:ascii="inter" w:hAnsi="inter"/>
                  <w:color w:val="#000"/>
                  <w:sz w:val="17"/>
                  <w:u w:val="single"/>
                  <w:vertAlign w:val="superscript"/>
                </w:rPr>
                <w:t xml:space="preserve">[3]</w:t>
              </w:r>
            </w:hyperlink>
            <w:hyperlink w:anchor="fn6">
              <w:r>
                <w:rPr>
                  <w:rFonts w:eastAsia="inter" w:cs="inter" w:ascii="inter" w:hAnsi="inter"/>
                  <w:color w:val="#000"/>
                  <w:sz w:val="17"/>
                  <w:u w:val="single"/>
                  <w:vertAlign w:val="superscript"/>
                </w:rPr>
                <w:t xml:space="preserve">[6]</w:t>
              </w:r>
            </w:hyperlink>
          </w:p>
        </w:tc>
      </w:tr>
    </w:tbl>
    <w:p>
      <w:pPr>
        <w:spacing w:lineRule="auto"/>
      </w:pP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Recommendations for Secure, Private Financial Data Analysis</w:t>
      </w:r>
    </w:p>
    <w:p>
      <w:pPr>
        <w:numPr>
          <w:ilvl w:val="0"/>
          <w:numId w:val="5"/>
        </w:numPr>
        <w:spacing w:line="360" w:before="105" w:after="105" w:lineRule="auto"/>
      </w:pPr>
      <w:r>
        <w:rPr>
          <w:rFonts w:eastAsia="inter" w:cs="inter" w:ascii="inter" w:hAnsi="inter"/>
          <w:color w:val="000000"/>
          <w:sz w:val="21"/>
        </w:rPr>
        <w:t xml:space="preserve">Use </w:t>
      </w:r>
      <w:r>
        <w:rPr>
          <w:rFonts w:eastAsia="inter" w:cs="inter" w:ascii="inter" w:hAnsi="inter"/>
          <w:b/>
          <w:color w:val="000000"/>
          <w:sz w:val="21"/>
        </w:rPr>
        <w:t xml:space="preserve">FinGPT</w:t>
      </w:r>
      <w:r>
        <w:rPr>
          <w:rFonts w:eastAsia="inter" w:cs="inter" w:ascii="inter" w:hAnsi="inter"/>
          <w:color w:val="000000"/>
          <w:sz w:val="21"/>
        </w:rPr>
        <w:t xml:space="preserve"> or a finance-specialized model via </w:t>
      </w:r>
      <w:r>
        <w:rPr>
          <w:rFonts w:eastAsia="inter" w:cs="inter" w:ascii="inter" w:hAnsi="inter"/>
          <w:b/>
          <w:color w:val="000000"/>
          <w:sz w:val="21"/>
        </w:rPr>
        <w:t xml:space="preserve">Ollama</w:t>
      </w:r>
      <w:r>
        <w:rPr>
          <w:rFonts w:eastAsia="inter" w:cs="inter" w:ascii="inter" w:hAnsi="inter"/>
          <w:color w:val="000000"/>
          <w:sz w:val="21"/>
        </w:rPr>
        <w:t xml:space="preserve"> for local analysis.</w:t>
      </w:r>
    </w:p>
    <w:p>
      <w:pPr>
        <w:numPr>
          <w:ilvl w:val="0"/>
          <w:numId w:val="5"/>
        </w:numPr>
        <w:spacing w:line="360" w:before="105" w:after="105" w:lineRule="auto"/>
      </w:pPr>
      <w:r>
        <w:rPr>
          <w:rFonts w:eastAsia="inter" w:cs="inter" w:ascii="inter" w:hAnsi="inter"/>
          <w:color w:val="000000"/>
          <w:sz w:val="21"/>
        </w:rPr>
        <w:t xml:space="preserve">Ensure your deployment is not exposed to the public internet.</w:t>
      </w:r>
    </w:p>
    <w:p>
      <w:pPr>
        <w:numPr>
          <w:ilvl w:val="0"/>
          <w:numId w:val="5"/>
        </w:numPr>
        <w:spacing w:line="360" w:before="105" w:after="105" w:lineRule="auto"/>
      </w:pPr>
      <w:r>
        <w:rPr>
          <w:rFonts w:eastAsia="inter" w:cs="inter" w:ascii="inter" w:hAnsi="inter"/>
          <w:color w:val="000000"/>
          <w:sz w:val="21"/>
        </w:rPr>
        <w:t xml:space="preserve">Secure all endpoints with firewalls or proxies, and regularly update your software to patch vulnerabilities</w:t>
      </w:r>
      <w:bookmarkStart w:id="17" w:name="fnref6:4"/>
      <w:bookmarkEnd w:id="17"/>
      <w:hyperlink w:anchor="fn6">
        <w:r>
          <w:rPr>
            <w:rFonts w:eastAsia="inter" w:cs="inter" w:ascii="inter" w:hAnsi="inter"/>
            <w:color w:val="#000"/>
            <w:sz w:val="21"/>
            <w:u w:val="single"/>
            <w:vertAlign w:val="superscript"/>
          </w:rPr>
          <w:t xml:space="preserve">[6]</w:t>
        </w:r>
      </w:hyperlink>
      <w:r>
        <w:rPr>
          <w:rFonts w:eastAsia="inter" w:cs="inter" w:ascii="inter" w:hAnsi="inter"/>
          <w:color w:val="000000"/>
          <w:sz w:val="21"/>
        </w:rPr>
        <w:t xml:space="preserve">.</w:t>
      </w:r>
    </w:p>
    <w:p>
      <w:pPr>
        <w:numPr>
          <w:ilvl w:val="0"/>
          <w:numId w:val="5"/>
        </w:numPr>
        <w:spacing w:line="360" w:before="105" w:after="105" w:lineRule="auto"/>
      </w:pPr>
      <w:r>
        <w:rPr>
          <w:rFonts w:eastAsia="inter" w:cs="inter" w:ascii="inter" w:hAnsi="inter"/>
          <w:color w:val="000000"/>
          <w:sz w:val="21"/>
        </w:rPr>
        <w:t xml:space="preserve">Choose models with clear documentation on data handling and privacy practices.</w:t>
      </w:r>
    </w:p>
    <w:p>
      <w:pPr>
        <w:numPr>
          <w:ilvl w:val="0"/>
          <w:numId w:val="5"/>
        </w:numPr>
        <w:spacing w:line="360" w:before="105" w:after="105" w:lineRule="auto"/>
      </w:pPr>
      <w:r>
        <w:rPr>
          <w:rFonts w:eastAsia="inter" w:cs="inter" w:ascii="inter" w:hAnsi="inter"/>
          <w:color w:val="000000"/>
          <w:sz w:val="21"/>
        </w:rPr>
        <w:t xml:space="preserve">For highly sensitive or regulated data, consult with IT security professionals before deployment.</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after="210" w:lineRule="auto"/>
      </w:pPr>
      <w:r>
        <w:rPr>
          <w:rFonts w:eastAsia="inter" w:cs="inter" w:ascii="inter" w:hAnsi="inter"/>
          <w:b/>
          <w:color w:val="000000"/>
        </w:rPr>
        <w:t xml:space="preserve">In summary:</w:t>
      </w:r>
      <w:r>
        <w:rPr>
          <w:rFonts w:eastAsia="inter" w:cs="inter" w:ascii="inter" w:hAnsi="inter"/>
          <w:color w:val="000000"/>
        </w:rPr>
        <w:br w:type="textWrapping"/>
      </w:r>
      <w:r>
        <w:rPr>
          <w:rFonts w:eastAsia="inter" w:cs="inter" w:ascii="inter" w:hAnsi="inter"/>
          <w:color w:val="000000"/>
        </w:rPr>
        <w:t xml:space="preserve">FinGPT is a strong choice for local, privacy-preserving financial data analysis, provided you follow standard security practices</w:t>
      </w:r>
      <w:bookmarkStart w:id="18" w:name="fnref1:5"/>
      <w:bookmarkEnd w:id="18"/>
      <w:hyperlink w:anchor="fn1">
        <w:r>
          <w:rPr>
            <w:rFonts w:eastAsia="inter" w:cs="inter" w:ascii="inter" w:hAnsi="inter"/>
            <w:color w:val="#000"/>
            <w:u w:val="single"/>
            <w:vertAlign w:val="superscript"/>
          </w:rPr>
          <w:t xml:space="preserve">[1]</w:t>
        </w:r>
      </w:hyperlink>
      <w:bookmarkStart w:id="19" w:name="fnref2:6"/>
      <w:bookmarkEnd w:id="19"/>
      <w:hyperlink w:anchor="fn2">
        <w:r>
          <w:rPr>
            <w:rFonts w:eastAsia="inter" w:cs="inter" w:ascii="inter" w:hAnsi="inter"/>
            <w:color w:val="#000"/>
            <w:u w:val="single"/>
            <w:vertAlign w:val="superscript"/>
          </w:rPr>
          <w:t xml:space="preserve">[2]</w:t>
        </w:r>
      </w:hyperlink>
      <w:r>
        <w:rPr>
          <w:rFonts w:eastAsia="inter" w:cs="inter" w:ascii="inter" w:hAnsi="inter"/>
          <w:color w:val="000000"/>
        </w:rPr>
        <w:t xml:space="preserve">. Ollama enables local LLM deployment but requires careful configuration to avoid known security risks</w:t>
      </w:r>
      <w:bookmarkStart w:id="20" w:name="fnref3:4"/>
      <w:bookmarkEnd w:id="20"/>
      <w:hyperlink w:anchor="fn3">
        <w:r>
          <w:rPr>
            <w:rFonts w:eastAsia="inter" w:cs="inter" w:ascii="inter" w:hAnsi="inter"/>
            <w:color w:val="#000"/>
            <w:u w:val="single"/>
            <w:vertAlign w:val="superscript"/>
          </w:rPr>
          <w:t xml:space="preserve">[3]</w:t>
        </w:r>
      </w:hyperlink>
      <w:bookmarkStart w:id="21" w:name="fnref6:5"/>
      <w:bookmarkEnd w:id="21"/>
      <w:hyperlink w:anchor="fn6">
        <w:r>
          <w:rPr>
            <w:rFonts w:eastAsia="inter" w:cs="inter" w:ascii="inter" w:hAnsi="inter"/>
            <w:color w:val="#000"/>
            <w:u w:val="single"/>
            <w:vertAlign w:val="superscript"/>
          </w:rPr>
          <w:t xml:space="preserve">[6]</w:t>
        </w:r>
      </w:hyperlink>
      <w:r>
        <w:rPr>
          <w:rFonts w:eastAsia="inter" w:cs="inter" w:ascii="inter" w:hAnsi="inter"/>
          <w:color w:val="000000"/>
        </w:rPr>
        <w:t xml:space="preserve">. Neither tool is inherently "unsafe," but both demand responsible setup and maintenance to ensure data privacy and protection.</w:t>
      </w:r>
    </w:p>
    <w:p>
      <w:pPr>
        <w:spacing w:line="360" w:lineRule="auto"/>
        <w:jc w:val="center"/>
      </w:pPr>
      <w:r>
        <w:rPr>
          <w:rFonts w:eastAsia="inter" w:cs="inter" w:ascii="inter" w:hAnsi="inter"/>
          <w:color w:val="000000"/>
        </w:rPr>
        <w:t xml:space="preserv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bookmarkStart w:id="22" w:name="fn1"/>
    <w:bookmarkEnd w:id="22"/>
    <w:p>
      <w:pPr>
        <w:numPr>
          <w:ilvl w:val="0"/>
          <w:numId w:val="7"/>
        </w:numPr>
        <w:spacing w:line="360" w:after="210" w:lineRule="auto"/>
      </w:pPr>
      <w:hyperlink r:id="rId6">
        <w:r>
          <w:rPr>
            <w:rFonts w:eastAsia="inter" w:cs="inter" w:ascii="inter" w:hAnsi="inter"/>
            <w:color w:val="#000"/>
            <w:sz w:val="18"/>
            <w:u w:val="single"/>
          </w:rPr>
          <w:t xml:space="preserve">https://github.com/AI4Finance-Foundation/FinGPT</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3" w:name="fn2"/>
    <w:bookmarkEnd w:id="23"/>
    <w:p>
      <w:pPr>
        <w:numPr>
          <w:ilvl w:val="0"/>
          <w:numId w:val="7"/>
        </w:numPr>
        <w:spacing w:line="360" w:after="210" w:lineRule="auto"/>
      </w:pPr>
      <w:hyperlink r:id="rId7">
        <w:r>
          <w:rPr>
            <w:rFonts w:eastAsia="inter" w:cs="inter" w:ascii="inter" w:hAnsi="inter"/>
            <w:color w:val="#000"/>
            <w:sz w:val="18"/>
            <w:u w:val="single"/>
          </w:rPr>
          <w:t xml:space="preserve">https://www.linkedin.com/pulse/cloud-journey-part-11-llms-finance-using-fingpt-chris-shayan-jg39c</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4" w:name="fn3"/>
    <w:bookmarkEnd w:id="24"/>
    <w:p>
      <w:pPr>
        <w:numPr>
          <w:ilvl w:val="0"/>
          <w:numId w:val="7"/>
        </w:numPr>
        <w:spacing w:line="360" w:after="210" w:lineRule="auto"/>
      </w:pPr>
      <w:hyperlink r:id="rId8">
        <w:r>
          <w:rPr>
            <w:rFonts w:eastAsia="inter" w:cs="inter" w:ascii="inter" w:hAnsi="inter"/>
            <w:color w:val="#000"/>
            <w:sz w:val="18"/>
            <w:u w:val="single"/>
          </w:rPr>
          <w:t xml:space="preserve">https://www.arsturn.com/blog/revolutionizing-fraud-detection-finance-ollama</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bookmarkStart w:id="25" w:name="fn4"/>
    <w:bookmarkEnd w:id="25"/>
    <w:p>
      <w:pPr>
        <w:numPr>
          <w:ilvl w:val="0"/>
          <w:numId w:val="7"/>
        </w:numPr>
        <w:spacing w:line="360" w:after="210" w:lineRule="auto"/>
      </w:pPr>
      <w:hyperlink r:id="rId9">
        <w:r>
          <w:rPr>
            <w:rFonts w:eastAsia="inter" w:cs="inter" w:ascii="inter" w:hAnsi="inter"/>
            <w:color w:val="#000"/>
            <w:sz w:val="18"/>
            <w:u w:val="single"/>
          </w:rPr>
          <w:t xml:space="preserve">https://github.com/jmorganca/ollama/issues/1709</w:t>
        </w:r>
      </w:hyperlink>
      <w:r>
        <w:rPr>
          <w:rFonts w:eastAsia="inter" w:cs="inter" w:ascii="inter" w:hAnsi="inter"/>
          <w:color w:val="000000"/>
          <w:sz w:val="18"/>
        </w:rPr>
        <w:t xml:space="preserve"> </w:t>
      </w:r>
    </w:p>
    <w:bookmarkStart w:id="26" w:name="fn5"/>
    <w:bookmarkEnd w:id="26"/>
    <w:p>
      <w:pPr>
        <w:numPr>
          <w:ilvl w:val="0"/>
          <w:numId w:val="7"/>
        </w:numPr>
        <w:spacing w:line="360" w:after="210" w:lineRule="auto"/>
      </w:pPr>
      <w:hyperlink r:id="rId10">
        <w:r>
          <w:rPr>
            <w:rFonts w:eastAsia="inter" w:cs="inter" w:ascii="inter" w:hAnsi="inter"/>
            <w:color w:val="#000"/>
            <w:sz w:val="18"/>
            <w:u w:val="single"/>
          </w:rPr>
          <w:t xml:space="preserve">https://ollama.com/mychen76/Fin-R1</w:t>
        </w:r>
      </w:hyperlink>
      <w:r>
        <w:rPr>
          <w:rFonts w:eastAsia="inter" w:cs="inter" w:ascii="inter" w:hAnsi="inter"/>
          <w:color w:val="000000"/>
          <w:sz w:val="18"/>
        </w:rPr>
        <w:t xml:space="preserve"> </w:t>
      </w:r>
    </w:p>
    <w:bookmarkStart w:id="27" w:name="fn6"/>
    <w:bookmarkEnd w:id="27"/>
    <w:p>
      <w:pPr>
        <w:numPr>
          <w:ilvl w:val="0"/>
          <w:numId w:val="7"/>
        </w:numPr>
        <w:spacing w:line="360" w:after="210" w:lineRule="auto"/>
      </w:pPr>
      <w:hyperlink r:id="rId11">
        <w:r>
          <w:rPr>
            <w:rFonts w:eastAsia="inter" w:cs="inter" w:ascii="inter" w:hAnsi="inter"/>
            <w:color w:val="#000"/>
            <w:sz w:val="18"/>
            <w:u w:val="single"/>
          </w:rPr>
          <w:t xml:space="preserve">https://rhyno.io/blogs/cybersecurity-news/ollama-ai-framework-security-breach/</w:t>
        </w:r>
      </w:hyperlink>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r>
        <w:rPr>
          <w:rFonts w:eastAsia="inter" w:cs="inter" w:ascii="inter" w:hAnsi="inter"/>
          <w:color w:val="000000"/>
          <w:sz w:val="18"/>
        </w:rPr>
        <w:t xml:space="preserve"> </w:t>
      </w:r>
    </w:p>
    <w:sectPr>
      <w:pgSz w:w="12240" w:h="15840" w:orient="portrait"/>
      <w:pgMar w:top="1365" w:right="1365" w:bottom="1365" w:left="1365" w:header="720" w:footer="72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inter">
    <w:family w:val="auto"/>
    <w:pitch w:val="variable"/>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multiLevelType w:val="hybridMultilevel"/>
    <w:lvl w:ilvl="0">
      <w:start w:val="1"/>
      <w:numFmt w:val="bullet"/>
      <w:lvlText w:val=""/>
      <w:lvlJc w:val="left"/>
      <w:pPr>
        <w:tabs>
          <w:tab w:val="num" w:pos="900"/>
        </w:tabs>
        <w:ind w:left="540" w:hanging="360"/>
      </w:pPr>
      <w:rPr>
        <w:rFonts w:ascii="Symbol" w:hAnsi="Symbol" w:hint="default"/>
      </w:rPr>
    </w:lvl>
  </w:abstractNum>
  <w:abstractNum w:abstractNumId="2">
    <w:multiLevelType w:val="hybridMultilevel"/>
    <w:lvl w:ilvl="0">
      <w:start w:val="1"/>
      <w:numFmt w:val="bullet"/>
      <w:lvlText w:val=""/>
      <w:lvlJc w:val="left"/>
      <w:pPr>
        <w:tabs>
          <w:tab w:val="num" w:pos="900"/>
        </w:tabs>
        <w:ind w:left="540" w:hanging="360"/>
      </w:pPr>
      <w:rPr>
        <w:rFonts w:ascii="Symbol" w:hAnsi="Symbol" w:hint="default"/>
      </w:rPr>
    </w:lvl>
  </w:abstractNum>
  <w:abstractNum w:abstractNumId="3">
    <w:multiLevelType w:val="hybridMultilevel"/>
    <w:lvl w:ilvl="0">
      <w:start w:val="1"/>
      <w:numFmt w:val="bullet"/>
      <w:lvlText w:val=""/>
      <w:lvlJc w:val="left"/>
      <w:pPr>
        <w:tabs>
          <w:tab w:val="num" w:pos="900"/>
        </w:tabs>
        <w:ind w:left="540" w:hanging="360"/>
      </w:pPr>
      <w:rPr>
        <w:rFonts w:ascii="Symbol" w:hAnsi="Symbol" w:hint="default"/>
      </w:rPr>
    </w:lvl>
    <w:lvl w:ilvl="1">
      <w:start w:val="1"/>
      <w:numFmt w:val="bullet"/>
      <w:lvlText w:val="o"/>
      <w:lvlJc w:val="left"/>
      <w:pPr>
        <w:tabs>
          <w:tab w:val="num" w:pos="1440"/>
        </w:tabs>
        <w:ind w:left="1080" w:hanging="360"/>
      </w:pPr>
      <w:rPr>
        <w:rFonts w:ascii="Courier New" w:hAnsi="Courier New" w:cs="Courier New" w:hint="default"/>
      </w:rPr>
    </w:lvl>
  </w:abstractNum>
  <w:abstractNum w:abstractNumId="4">
    <w:multiLevelType w:val="hybridMultilevel"/>
    <w:lvl w:ilvl="0">
      <w:start w:val="1"/>
      <w:numFmt w:val="bullet"/>
      <w:lvlText w:val=""/>
      <w:lvlJc w:val="left"/>
      <w:pPr>
        <w:tabs>
          <w:tab w:val="num" w:pos="900"/>
        </w:tabs>
        <w:ind w:left="540" w:hanging="360"/>
      </w:pPr>
      <w:rPr>
        <w:rFonts w:ascii="Symbol" w:hAnsi="Symbol" w:hint="default"/>
      </w:rPr>
    </w:lvl>
  </w:abstractNum>
  <w:abstractNum w:abstractNumId="5">
    <w:multiLevelType w:val="hybridMultilevel"/>
    <w:lvl w:ilvl="0">
      <w:start w:val="1"/>
      <w:numFmt w:val="bullet"/>
      <w:lvlText w:val=""/>
      <w:lvlJc w:val="left"/>
      <w:pPr>
        <w:tabs>
          <w:tab w:val="num" w:pos="900"/>
        </w:tabs>
        <w:ind w:left="540" w:hanging="360"/>
      </w:pPr>
      <w:rPr>
        <w:rFonts w:ascii="Symbol" w:hAnsi="Symbol" w:hint="default"/>
      </w:rPr>
    </w:lvl>
  </w:abstractNum>
  <w:abstractNum w:abstractNumId="6">
    <w:multiLevelType w:val="hybridMultilevel"/>
  </w:abstractNum>
  <w:abstractNum w:abstractNumId="7">
    <w:multiLevelType w:val="hybridMultilevel"/>
    <w:lvl w:ilvl="0">
      <w:start w:val="1"/>
      <w:numFmt w:val="decimal"/>
      <w:lvlText w:val="%1."/>
      <w:lvlJc w:val="left"/>
      <w:pPr>
        <w:tabs>
          <w:tab w:val="num" w:pos="900"/>
        </w:tabs>
        <w:ind w:left="54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style w:type="paragraph" w:default="1" w:styleId="Normal">
    <w:name w:val="Normal"/>
    <w:next w:val="Normal"/>
    <w:pPr/>
    <w:rPr>
      <w:rFonts w:ascii="Georgia" w:eastAsiaTheme="minorHAnsi" w:hAnsiTheme="minorHAnsi" w:cstheme="minorBidi"/>
      <w:sz w:val="21"/>
      <w:szCs w:val="22"/>
      <w:lang w:val="en-US" w:eastAsia="en-US" w:bidi="ar-SA"/>
    </w:rPr>
  </w:style>
  <w:style w:type="character" w:customStyle="1" w:styleId="VerbatimChar">
    <w:name w:val="Verbatim Char"/>
    <w:basedOn w:val="BodyTextChar"/>
    <w:rPr>
      <w:rFonts w:ascii="Consolas" w:hAnsi="Consolas"/>
      <w:sz w:val="22"/>
    </w:rPr>
  </w:style>
  <w:style w:type="table" w:default="1" w:styleId="TableNormal">
    <w:name w:val="Normal Table"/>
    <w:uiPriority w:val="99"/>
    <w:semiHidden/>
    <w:unhideWhenUsed/>
    <w:tblPr>
      <w:tblInd w:w="0" w:type="dxa"/>
      <w:tblCellMar>
        <w:top w:w="80" w:type="dxa"/>
        <w:left w:w="160" w:type="dxa"/>
        <w:bottom w:w="80" w:type="dxa"/>
        <w:right w:w="160" w:type="dxa"/>
      </w:tblCellMar>
    </w:tblPr>
  </w:style>
  <w:style w:type="table" w:styleId="TableGrid">
    <w:name w:val="Normal Grid"/>
    <w:basedOn w:val="TableNormal"/>
    <w:uiPriority w:val="39"/>
    <w:pPr>
      <w:spacing w:after="0" w:line="240" w:lineRule="auto"/>
    </w:pPr>
    <w:tblPr>
      <w:tblInd w:w="0" w:type="dxa"/>
      <w:tblCellMar>
        <w:top w:w="80" w:type="dxa"/>
        <w:left w:w="160" w:type="dxa"/>
        <w:bottom w:w="80" w:type="dxa"/>
        <w:right w:w="160" w:type="dxa"/>
      </w:tblCellMar>
    </w:tbl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44a44fb94ea97daf2578ceaaa66ff96e22a769dc.png" TargetMode="Internal"/><Relationship Id="rId6" Type="http://schemas.openxmlformats.org/officeDocument/2006/relationships/hyperlink" Target="https://github.com/AI4Finance-Foundation/FinGPT" TargetMode="External"/><Relationship Id="rId7" Type="http://schemas.openxmlformats.org/officeDocument/2006/relationships/hyperlink" Target="https://www.linkedin.com/pulse/cloud-journey-part-11-llms-finance-using-fingpt-chris-shayan-jg39c" TargetMode="External"/><Relationship Id="rId8" Type="http://schemas.openxmlformats.org/officeDocument/2006/relationships/hyperlink" Target="https://www.arsturn.com/blog/revolutionizing-fraud-detection-finance-ollama" TargetMode="External"/><Relationship Id="rId9" Type="http://schemas.openxmlformats.org/officeDocument/2006/relationships/hyperlink" Target="https://github.com/jmorganca/ollama/issues/1709" TargetMode="External"/><Relationship Id="rId10" Type="http://schemas.openxmlformats.org/officeDocument/2006/relationships/hyperlink" Target="https://ollama.com/mychen76/Fin-R1" TargetMode="External"/><Relationship Id="rId11" Type="http://schemas.openxmlformats.org/officeDocument/2006/relationships/hyperlink" Target="https://rhyno.io/blogs/cybersecurity-news/ollama-ai-framework-security-breach/" TargetMode="External"/></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2025-06-20T21:21:38.491Z</dcterms:created>
  <dcterms:modified xsi:type="dcterms:W3CDTF">2025-06-20T21:21:38.491Z</dcterms:modified>
</cp:coreProperties>
</file>